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29412">
      <w:pPr>
        <w:rPr>
          <w:rFonts w:ascii="方正小标宋简体" w:hAnsi="华文中宋" w:eastAsia="方正小标宋简体" w:cs="方正小标宋简体"/>
          <w:sz w:val="40"/>
          <w:szCs w:val="40"/>
        </w:rPr>
      </w:pPr>
      <w:bookmarkStart w:id="0" w:name="_GoBack"/>
      <w:bookmarkEnd w:id="0"/>
      <w:r>
        <w:rPr>
          <w:rFonts w:hint="eastAsia" w:ascii="仿宋_GB2312" w:hAnsi="仿宋_GB2312" w:eastAsia="仿宋_GB2312" w:cs="仿宋_GB2312"/>
          <w:sz w:val="28"/>
          <w:szCs w:val="28"/>
        </w:rPr>
        <w:t>附件：</w:t>
      </w:r>
    </w:p>
    <w:p w14:paraId="379CC13D">
      <w:pPr>
        <w:jc w:val="center"/>
        <w:rPr>
          <w:rFonts w:ascii="方正小标宋简体" w:hAnsi="华文中宋" w:eastAsia="方正小标宋简体" w:cs="方正小标宋简体"/>
          <w:sz w:val="40"/>
          <w:szCs w:val="40"/>
        </w:rPr>
      </w:pPr>
      <w:r>
        <w:rPr>
          <w:rFonts w:hint="eastAsia" w:ascii="方正小标宋简体" w:hAnsi="华文中宋" w:eastAsia="方正小标宋简体" w:cs="方正小标宋简体"/>
          <w:sz w:val="40"/>
          <w:szCs w:val="40"/>
        </w:rPr>
        <w:t>吉首大学2024年度学科建设成效及2025年度预期目标表</w:t>
      </w:r>
    </w:p>
    <w:p w14:paraId="38650BF3">
      <w:pPr>
        <w:ind w:firstLine="1680" w:firstLineChars="600"/>
        <w:jc w:val="both"/>
        <w:rPr>
          <w:rFonts w:ascii="方正小标宋简体" w:hAnsi="华文中宋" w:eastAsia="方正小标宋简体" w:cs="方正小标宋简体"/>
          <w:sz w:val="18"/>
          <w:szCs w:val="18"/>
        </w:rPr>
      </w:pPr>
      <w:r>
        <w:rPr>
          <w:rFonts w:hint="eastAsia" w:ascii="仿宋_GB2312" w:hAnsi="仿宋_GB2312" w:eastAsia="仿宋_GB2312" w:cs="仿宋_GB2312"/>
          <w:sz w:val="28"/>
          <w:szCs w:val="28"/>
        </w:rPr>
        <w:t>填报单位（盖章）：                            填报人（联系方式）：</w:t>
      </w:r>
    </w:p>
    <w:tbl>
      <w:tblPr>
        <w:tblStyle w:val="4"/>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7786"/>
        <w:gridCol w:w="1964"/>
        <w:gridCol w:w="1977"/>
      </w:tblGrid>
      <w:tr w14:paraId="21EA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309" w:type="dxa"/>
          </w:tcPr>
          <w:p w14:paraId="7CE556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一级</w:t>
            </w:r>
            <w:r>
              <w:rPr>
                <w:rFonts w:hint="eastAsia" w:ascii="楷体_GB2312" w:hAnsi="楷体_GB2312" w:eastAsia="楷体_GB2312" w:cs="楷体_GB2312"/>
                <w:b/>
                <w:bCs/>
                <w:sz w:val="28"/>
                <w:szCs w:val="28"/>
              </w:rPr>
              <w:br w:type="textWrapping"/>
            </w:r>
            <w:r>
              <w:rPr>
                <w:rFonts w:hint="eastAsia" w:ascii="楷体_GB2312" w:hAnsi="楷体_GB2312" w:eastAsia="楷体_GB2312" w:cs="楷体_GB2312"/>
                <w:b/>
                <w:bCs/>
                <w:sz w:val="28"/>
                <w:szCs w:val="28"/>
              </w:rPr>
              <w:t>指标</w:t>
            </w:r>
          </w:p>
        </w:tc>
        <w:tc>
          <w:tcPr>
            <w:tcW w:w="7786" w:type="dxa"/>
          </w:tcPr>
          <w:p w14:paraId="3CDA0A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二级</w:t>
            </w:r>
            <w:r>
              <w:rPr>
                <w:rFonts w:hint="eastAsia" w:ascii="楷体_GB2312" w:hAnsi="楷体_GB2312" w:eastAsia="楷体_GB2312" w:cs="楷体_GB2312"/>
                <w:b/>
                <w:bCs/>
                <w:sz w:val="28"/>
                <w:szCs w:val="28"/>
              </w:rPr>
              <w:br w:type="textWrapping"/>
            </w:r>
            <w:r>
              <w:rPr>
                <w:rFonts w:hint="eastAsia" w:ascii="楷体_GB2312" w:hAnsi="楷体_GB2312" w:eastAsia="楷体_GB2312" w:cs="楷体_GB2312"/>
                <w:b/>
                <w:bCs/>
                <w:sz w:val="28"/>
                <w:szCs w:val="28"/>
              </w:rPr>
              <w:t>指标</w:t>
            </w:r>
          </w:p>
        </w:tc>
        <w:tc>
          <w:tcPr>
            <w:tcW w:w="1964" w:type="dxa"/>
          </w:tcPr>
          <w:p w14:paraId="5DD166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2024年度</w:t>
            </w:r>
            <w:r>
              <w:rPr>
                <w:rFonts w:hint="eastAsia" w:ascii="楷体_GB2312" w:hAnsi="楷体_GB2312" w:eastAsia="楷体_GB2312" w:cs="楷体_GB2312"/>
                <w:b/>
                <w:bCs/>
                <w:sz w:val="28"/>
                <w:szCs w:val="28"/>
              </w:rPr>
              <w:t>建设成效</w:t>
            </w:r>
          </w:p>
        </w:tc>
        <w:tc>
          <w:tcPr>
            <w:tcW w:w="1977" w:type="dxa"/>
          </w:tcPr>
          <w:p w14:paraId="78C44C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2025年度预期目标</w:t>
            </w:r>
          </w:p>
        </w:tc>
      </w:tr>
      <w:tr w14:paraId="48FF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restart"/>
            <w:vAlign w:val="center"/>
          </w:tcPr>
          <w:p w14:paraId="40E290A6">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1.人才培养（学位点和专业）</w:t>
            </w:r>
          </w:p>
        </w:tc>
        <w:tc>
          <w:tcPr>
            <w:tcW w:w="7786" w:type="dxa"/>
            <w:vAlign w:val="center"/>
          </w:tcPr>
          <w:p w14:paraId="318A2F2D">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2"/>
                <w:szCs w:val="22"/>
              </w:rPr>
            </w:pPr>
            <w:r>
              <w:rPr>
                <w:rFonts w:hint="eastAsia" w:ascii="仿宋_GB2312" w:hAnsi="仿宋_GB2312" w:eastAsia="仿宋_GB2312" w:cs="仿宋_GB2312"/>
                <w:sz w:val="24"/>
              </w:rPr>
              <w:t>新增（减）学位点情况</w:t>
            </w:r>
          </w:p>
        </w:tc>
        <w:tc>
          <w:tcPr>
            <w:tcW w:w="1964" w:type="dxa"/>
          </w:tcPr>
          <w:p w14:paraId="0718D352">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0274EF0C">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68E0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continue"/>
          </w:tcPr>
          <w:p w14:paraId="7D048EFF">
            <w:pPr>
              <w:spacing w:line="520" w:lineRule="exact"/>
              <w:rPr>
                <w:rFonts w:ascii="仿宋_GB2312" w:hAnsi="仿宋_GB2312" w:eastAsia="仿宋_GB2312" w:cs="仿宋_GB2312"/>
                <w:b/>
                <w:bCs/>
                <w:sz w:val="28"/>
                <w:szCs w:val="28"/>
              </w:rPr>
            </w:pPr>
          </w:p>
        </w:tc>
        <w:tc>
          <w:tcPr>
            <w:tcW w:w="7786" w:type="dxa"/>
            <w:vAlign w:val="center"/>
          </w:tcPr>
          <w:p w14:paraId="5C80306F">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sz w:val="22"/>
                <w:szCs w:val="22"/>
              </w:rPr>
            </w:pPr>
            <w:r>
              <w:rPr>
                <w:rFonts w:hint="eastAsia" w:ascii="仿宋_GB2312" w:hAnsi="仿宋_GB2312" w:eastAsia="仿宋_GB2312" w:cs="仿宋_GB2312"/>
                <w:sz w:val="24"/>
              </w:rPr>
              <w:t>新增国家级教学团队（或验收通过）、国家级一流专业建设点（或验收通过）、国家教学成果奖（含参与，单位排名前3，成员排名前10）、国家一流课程、国家或省部级优秀教材获奖以及课堂教学竞赛高等级奖（省级一等奖及以上）</w:t>
            </w:r>
          </w:p>
        </w:tc>
        <w:tc>
          <w:tcPr>
            <w:tcW w:w="1964" w:type="dxa"/>
          </w:tcPr>
          <w:p w14:paraId="6001B31D">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2289E8FE">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45D5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continue"/>
          </w:tcPr>
          <w:p w14:paraId="1CFA6FFE">
            <w:pPr>
              <w:spacing w:line="520" w:lineRule="exact"/>
              <w:rPr>
                <w:rFonts w:ascii="仿宋_GB2312" w:hAnsi="仿宋_GB2312" w:eastAsia="仿宋_GB2312" w:cs="仿宋_GB2312"/>
                <w:b/>
                <w:bCs/>
                <w:sz w:val="28"/>
                <w:szCs w:val="28"/>
              </w:rPr>
            </w:pPr>
          </w:p>
        </w:tc>
        <w:tc>
          <w:tcPr>
            <w:tcW w:w="7786" w:type="dxa"/>
            <w:vAlign w:val="center"/>
          </w:tcPr>
          <w:p w14:paraId="5155403A">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sz w:val="22"/>
                <w:szCs w:val="22"/>
              </w:rPr>
            </w:pPr>
            <w:r>
              <w:rPr>
                <w:rFonts w:hint="eastAsia" w:ascii="仿宋_GB2312" w:hAnsi="仿宋_GB2312" w:eastAsia="仿宋_GB2312" w:cs="仿宋_GB2312"/>
                <w:sz w:val="24"/>
              </w:rPr>
              <w:t>新增标志性可比性全国性竞赛获奖（全国挑战杯、互联网+等）或公认的行业国家级获奖、公认的全国学科竞赛高等级奖</w:t>
            </w:r>
          </w:p>
        </w:tc>
        <w:tc>
          <w:tcPr>
            <w:tcW w:w="1964" w:type="dxa"/>
          </w:tcPr>
          <w:p w14:paraId="7BC30E5F">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1E8F45C3">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0D72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continue"/>
          </w:tcPr>
          <w:p w14:paraId="2A6C45AD">
            <w:pPr>
              <w:spacing w:line="520" w:lineRule="exact"/>
              <w:rPr>
                <w:rFonts w:ascii="仿宋_GB2312" w:hAnsi="仿宋_GB2312" w:eastAsia="仿宋_GB2312" w:cs="仿宋_GB2312"/>
                <w:b/>
                <w:bCs/>
                <w:sz w:val="28"/>
                <w:szCs w:val="28"/>
              </w:rPr>
            </w:pPr>
          </w:p>
        </w:tc>
        <w:tc>
          <w:tcPr>
            <w:tcW w:w="7786" w:type="dxa"/>
            <w:vAlign w:val="center"/>
          </w:tcPr>
          <w:p w14:paraId="00C3F387">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sz w:val="22"/>
                <w:szCs w:val="22"/>
              </w:rPr>
            </w:pPr>
            <w:r>
              <w:rPr>
                <w:rFonts w:hint="eastAsia" w:ascii="仿宋_GB2312" w:hAnsi="仿宋_GB2312" w:eastAsia="仿宋_GB2312" w:cs="仿宋_GB2312"/>
                <w:sz w:val="24"/>
              </w:rPr>
              <w:t>新增且一志愿录取率位居学校一志愿录取率前20%的本科专业</w:t>
            </w:r>
          </w:p>
        </w:tc>
        <w:tc>
          <w:tcPr>
            <w:tcW w:w="1964" w:type="dxa"/>
          </w:tcPr>
          <w:p w14:paraId="454A672F">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3C478DAC">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0C65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restart"/>
            <w:vAlign w:val="center"/>
          </w:tcPr>
          <w:p w14:paraId="0B687205">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2.团队建设</w:t>
            </w:r>
          </w:p>
        </w:tc>
        <w:tc>
          <w:tcPr>
            <w:tcW w:w="7786" w:type="dxa"/>
            <w:vAlign w:val="center"/>
          </w:tcPr>
          <w:p w14:paraId="532D9B30">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新增国家级、省部级以上人才计划人选</w:t>
            </w:r>
          </w:p>
        </w:tc>
        <w:tc>
          <w:tcPr>
            <w:tcW w:w="1964" w:type="dxa"/>
          </w:tcPr>
          <w:p w14:paraId="34DFE742">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686CC99C">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24AA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continue"/>
            <w:vAlign w:val="center"/>
          </w:tcPr>
          <w:p w14:paraId="65E85E6C">
            <w:pPr>
              <w:spacing w:line="520" w:lineRule="exact"/>
              <w:jc w:val="center"/>
              <w:rPr>
                <w:rFonts w:ascii="仿宋_GB2312" w:hAnsi="仿宋_GB2312" w:eastAsia="仿宋_GB2312" w:cs="仿宋_GB2312"/>
                <w:b/>
                <w:bCs/>
                <w:sz w:val="28"/>
                <w:szCs w:val="28"/>
              </w:rPr>
            </w:pPr>
          </w:p>
        </w:tc>
        <w:tc>
          <w:tcPr>
            <w:tcW w:w="7786" w:type="dxa"/>
            <w:vAlign w:val="center"/>
          </w:tcPr>
          <w:p w14:paraId="43EA3A23">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新增省部级以上学科评议组、教指委成员</w:t>
            </w:r>
          </w:p>
        </w:tc>
        <w:tc>
          <w:tcPr>
            <w:tcW w:w="1964" w:type="dxa"/>
          </w:tcPr>
          <w:p w14:paraId="7271382C">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6CF0A08F">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1A8B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continue"/>
            <w:vAlign w:val="center"/>
          </w:tcPr>
          <w:p w14:paraId="4F1F7360">
            <w:pPr>
              <w:spacing w:line="520" w:lineRule="exact"/>
              <w:jc w:val="center"/>
              <w:rPr>
                <w:rFonts w:ascii="仿宋_GB2312" w:hAnsi="仿宋_GB2312" w:eastAsia="仿宋_GB2312" w:cs="仿宋_GB2312"/>
                <w:b/>
                <w:bCs/>
                <w:sz w:val="28"/>
                <w:szCs w:val="28"/>
              </w:rPr>
            </w:pPr>
          </w:p>
        </w:tc>
        <w:tc>
          <w:tcPr>
            <w:tcW w:w="7786" w:type="dxa"/>
            <w:vAlign w:val="center"/>
          </w:tcPr>
          <w:p w14:paraId="0F588A1F">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新引进学科带头人、学术带头人以及博士或副教授以上学术骨干成员</w:t>
            </w:r>
          </w:p>
        </w:tc>
        <w:tc>
          <w:tcPr>
            <w:tcW w:w="1964" w:type="dxa"/>
          </w:tcPr>
          <w:p w14:paraId="79BDB628">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3B4FFFFB">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6985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continue"/>
            <w:vAlign w:val="center"/>
          </w:tcPr>
          <w:p w14:paraId="746BC7EE">
            <w:pPr>
              <w:spacing w:line="520" w:lineRule="exact"/>
              <w:jc w:val="center"/>
              <w:rPr>
                <w:rFonts w:ascii="仿宋_GB2312" w:hAnsi="仿宋_GB2312" w:eastAsia="仿宋_GB2312" w:cs="仿宋_GB2312"/>
                <w:b/>
                <w:bCs/>
                <w:sz w:val="28"/>
                <w:szCs w:val="28"/>
              </w:rPr>
            </w:pPr>
          </w:p>
        </w:tc>
        <w:tc>
          <w:tcPr>
            <w:tcW w:w="7786" w:type="dxa"/>
            <w:vAlign w:val="center"/>
          </w:tcPr>
          <w:p w14:paraId="796A5BE9">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牵头组建跨学科团队建设，在推进学校学科交叉融合发展和跨学科团队建设中开展实质性工作，取得显著成效</w:t>
            </w:r>
          </w:p>
        </w:tc>
        <w:tc>
          <w:tcPr>
            <w:tcW w:w="1964" w:type="dxa"/>
          </w:tcPr>
          <w:p w14:paraId="186585A0">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607A218F">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43E6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restart"/>
            <w:vAlign w:val="center"/>
          </w:tcPr>
          <w:p w14:paraId="78845EBA">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3.科学研究和学术交流</w:t>
            </w:r>
          </w:p>
        </w:tc>
        <w:tc>
          <w:tcPr>
            <w:tcW w:w="7786" w:type="dxa"/>
            <w:vAlign w:val="center"/>
          </w:tcPr>
          <w:p w14:paraId="0FFFBD85">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国家级科研项目立项与结项。立项重大项目、重点项目、面上（一般）项目、地区基金（西部项目）和青年项目；结项优秀；牵头组织重大项目申报（进行了高质量论证）；</w:t>
            </w:r>
          </w:p>
        </w:tc>
        <w:tc>
          <w:tcPr>
            <w:tcW w:w="1964" w:type="dxa"/>
          </w:tcPr>
          <w:p w14:paraId="73BA6DDB">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109452DD">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44E4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continue"/>
            <w:vAlign w:val="center"/>
          </w:tcPr>
          <w:p w14:paraId="47D70578">
            <w:pPr>
              <w:spacing w:line="520" w:lineRule="exact"/>
              <w:jc w:val="center"/>
              <w:rPr>
                <w:rFonts w:ascii="仿宋_GB2312" w:hAnsi="仿宋_GB2312" w:eastAsia="仿宋_GB2312" w:cs="仿宋_GB2312"/>
                <w:b/>
                <w:bCs/>
                <w:sz w:val="28"/>
                <w:szCs w:val="28"/>
              </w:rPr>
            </w:pPr>
          </w:p>
        </w:tc>
        <w:tc>
          <w:tcPr>
            <w:tcW w:w="7786" w:type="dxa"/>
            <w:vAlign w:val="center"/>
          </w:tcPr>
          <w:p w14:paraId="70BB7C3E">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高质量论文发表</w:t>
            </w:r>
            <w:r>
              <w:rPr>
                <w:rFonts w:hint="eastAsia" w:ascii="仿宋_GB2312" w:hAnsi="仿宋_GB2312" w:eastAsia="仿宋_GB2312" w:cs="仿宋_GB2312"/>
                <w:color w:val="auto"/>
                <w:sz w:val="24"/>
              </w:rPr>
              <w:t>（依据《《吉首大学高质量学术论文认定及期刊分级办法（试行）》》（吉大发〔2023〕26号）按A</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A</w:t>
            </w:r>
            <w:r>
              <w:rPr>
                <w:rFonts w:ascii="仿宋_GB2312" w:hAnsi="仿宋_GB2312" w:eastAsia="仿宋_GB2312" w:cs="仿宋_GB2312"/>
                <w:color w:val="auto"/>
                <w:sz w:val="24"/>
              </w:rPr>
              <w:t>、B、C、D级别进行统计</w:t>
            </w:r>
            <w:r>
              <w:rPr>
                <w:rFonts w:hint="eastAsia" w:ascii="仿宋_GB2312" w:hAnsi="仿宋_GB2312" w:eastAsia="仿宋_GB2312" w:cs="仿宋_GB2312"/>
                <w:color w:val="auto"/>
                <w:sz w:val="24"/>
              </w:rPr>
              <w:t>）</w:t>
            </w:r>
          </w:p>
        </w:tc>
        <w:tc>
          <w:tcPr>
            <w:tcW w:w="1964" w:type="dxa"/>
          </w:tcPr>
          <w:p w14:paraId="00F1C95C">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48D17CA7">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06CC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continue"/>
            <w:vAlign w:val="center"/>
          </w:tcPr>
          <w:p w14:paraId="7D0CFA14">
            <w:pPr>
              <w:spacing w:line="520" w:lineRule="exact"/>
              <w:jc w:val="center"/>
              <w:rPr>
                <w:rFonts w:ascii="仿宋_GB2312" w:hAnsi="仿宋_GB2312" w:eastAsia="仿宋_GB2312" w:cs="仿宋_GB2312"/>
                <w:b/>
                <w:bCs/>
                <w:sz w:val="28"/>
                <w:szCs w:val="28"/>
              </w:rPr>
            </w:pPr>
          </w:p>
        </w:tc>
        <w:tc>
          <w:tcPr>
            <w:tcW w:w="7786" w:type="dxa"/>
            <w:vAlign w:val="center"/>
          </w:tcPr>
          <w:p w14:paraId="6B930179">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科研成果转化。理工科横向项目经费300万元以上；人文社科智库成果获省级及以上领导肯定性批示、省级及以上行业主管部门的专题推介，项目经费100万元以上</w:t>
            </w:r>
          </w:p>
        </w:tc>
        <w:tc>
          <w:tcPr>
            <w:tcW w:w="1964" w:type="dxa"/>
          </w:tcPr>
          <w:p w14:paraId="589A722B">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50E02F6D">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7FF4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09" w:type="dxa"/>
            <w:vMerge w:val="continue"/>
            <w:vAlign w:val="center"/>
          </w:tcPr>
          <w:p w14:paraId="12D9A9D4">
            <w:pPr>
              <w:spacing w:line="520" w:lineRule="exact"/>
              <w:jc w:val="center"/>
              <w:rPr>
                <w:rFonts w:ascii="仿宋_GB2312" w:hAnsi="仿宋_GB2312" w:eastAsia="仿宋_GB2312" w:cs="仿宋_GB2312"/>
                <w:b/>
                <w:bCs/>
                <w:sz w:val="28"/>
                <w:szCs w:val="28"/>
              </w:rPr>
            </w:pPr>
          </w:p>
        </w:tc>
        <w:tc>
          <w:tcPr>
            <w:tcW w:w="7786" w:type="dxa"/>
            <w:vAlign w:val="center"/>
          </w:tcPr>
          <w:p w14:paraId="56212ED5">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部省级以上科研成果奖励</w:t>
            </w:r>
          </w:p>
        </w:tc>
        <w:tc>
          <w:tcPr>
            <w:tcW w:w="1964" w:type="dxa"/>
          </w:tcPr>
          <w:p w14:paraId="250034D6">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23698127">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1CA7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continue"/>
            <w:vAlign w:val="center"/>
          </w:tcPr>
          <w:p w14:paraId="076D4C00">
            <w:pPr>
              <w:spacing w:line="520" w:lineRule="exact"/>
              <w:jc w:val="center"/>
              <w:rPr>
                <w:rFonts w:ascii="仿宋_GB2312" w:hAnsi="仿宋_GB2312" w:eastAsia="仿宋_GB2312" w:cs="仿宋_GB2312"/>
                <w:b/>
                <w:bCs/>
                <w:sz w:val="28"/>
                <w:szCs w:val="28"/>
              </w:rPr>
            </w:pPr>
          </w:p>
        </w:tc>
        <w:tc>
          <w:tcPr>
            <w:tcW w:w="7786" w:type="dxa"/>
            <w:vAlign w:val="center"/>
          </w:tcPr>
          <w:p w14:paraId="5B34276B">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高端学术会议和高质量学术交流。主办或承办学科国家级学会（不含分专业委员会）全国性（含国际）学术年会（参会人员100人以上）；主办或承办学科全国性（含国际）学术会议或者与地方政府、行业协会联合主办的有重大社会影响的学术性会议；邀请全国著名专家学者来校讲座</w:t>
            </w:r>
          </w:p>
        </w:tc>
        <w:tc>
          <w:tcPr>
            <w:tcW w:w="1964" w:type="dxa"/>
          </w:tcPr>
          <w:p w14:paraId="23CFD892">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53BC630E">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3930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restart"/>
            <w:vAlign w:val="center"/>
          </w:tcPr>
          <w:p w14:paraId="7E461987">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4.社会服务贡献</w:t>
            </w:r>
          </w:p>
        </w:tc>
        <w:tc>
          <w:tcPr>
            <w:tcW w:w="7786" w:type="dxa"/>
            <w:vAlign w:val="center"/>
          </w:tcPr>
          <w:p w14:paraId="25155218">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获得省级以上党委政府部门表彰。学科团队承担和完成的社会服务项目获得省级以上党委政府部门表彰</w:t>
            </w:r>
          </w:p>
        </w:tc>
        <w:tc>
          <w:tcPr>
            <w:tcW w:w="1964" w:type="dxa"/>
          </w:tcPr>
          <w:p w14:paraId="35C885D7">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100D2438">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6BDC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continue"/>
            <w:vAlign w:val="center"/>
          </w:tcPr>
          <w:p w14:paraId="2F052792">
            <w:pPr>
              <w:spacing w:line="520" w:lineRule="exact"/>
              <w:jc w:val="center"/>
              <w:rPr>
                <w:rFonts w:ascii="仿宋_GB2312" w:hAnsi="仿宋_GB2312" w:eastAsia="仿宋_GB2312" w:cs="仿宋_GB2312"/>
                <w:b/>
                <w:bCs/>
                <w:sz w:val="28"/>
                <w:szCs w:val="28"/>
              </w:rPr>
            </w:pPr>
          </w:p>
        </w:tc>
        <w:tc>
          <w:tcPr>
            <w:tcW w:w="7786" w:type="dxa"/>
            <w:vAlign w:val="center"/>
          </w:tcPr>
          <w:p w14:paraId="4D417127">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经验被省级及以上主流媒体宣传推广。如被国家和省级电视台主流媒体要闻或者重要新闻栏目报道，或被《人民日报》《光明日报》《湖南日报》《经济日报》纸媒要闻版或《中国教育报》纸媒头版头条重要报道，或被省级及以上官方内部报刊推介等</w:t>
            </w:r>
          </w:p>
        </w:tc>
        <w:tc>
          <w:tcPr>
            <w:tcW w:w="1964" w:type="dxa"/>
          </w:tcPr>
          <w:p w14:paraId="1964ADBB">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04168768">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7D94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Merge w:val="continue"/>
            <w:vAlign w:val="center"/>
          </w:tcPr>
          <w:p w14:paraId="6C30B649">
            <w:pPr>
              <w:spacing w:line="520" w:lineRule="exact"/>
              <w:jc w:val="center"/>
              <w:rPr>
                <w:rFonts w:ascii="仿宋_GB2312" w:hAnsi="仿宋_GB2312" w:eastAsia="仿宋_GB2312" w:cs="仿宋_GB2312"/>
                <w:b/>
                <w:bCs/>
                <w:sz w:val="28"/>
                <w:szCs w:val="28"/>
              </w:rPr>
            </w:pPr>
          </w:p>
        </w:tc>
        <w:tc>
          <w:tcPr>
            <w:tcW w:w="7786" w:type="dxa"/>
            <w:vAlign w:val="center"/>
          </w:tcPr>
          <w:p w14:paraId="33185AE5">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为学校发展争取到重大资金投入，办学资源和发展机遇或造成重大影响</w:t>
            </w:r>
          </w:p>
        </w:tc>
        <w:tc>
          <w:tcPr>
            <w:tcW w:w="1964" w:type="dxa"/>
          </w:tcPr>
          <w:p w14:paraId="3D63A4ED">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c>
          <w:tcPr>
            <w:tcW w:w="1977" w:type="dxa"/>
            <w:vAlign w:val="center"/>
          </w:tcPr>
          <w:p w14:paraId="56F8226F">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p>
        </w:tc>
      </w:tr>
      <w:tr w14:paraId="549E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14:paraId="0EAAFF95">
            <w:pPr>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5.</w:t>
            </w:r>
            <w:r>
              <w:rPr>
                <w:rFonts w:hint="default" w:ascii="仿宋_GB2312" w:hAnsi="仿宋_GB2312" w:eastAsia="仿宋_GB2312" w:cs="仿宋_GB2312"/>
                <w:b/>
                <w:bCs/>
                <w:sz w:val="28"/>
                <w:szCs w:val="28"/>
                <w:lang w:val="en-US" w:eastAsia="zh-CN"/>
              </w:rPr>
              <w:t>学科建设经费</w:t>
            </w:r>
          </w:p>
        </w:tc>
        <w:tc>
          <w:tcPr>
            <w:tcW w:w="7786" w:type="dxa"/>
            <w:vAlign w:val="center"/>
          </w:tcPr>
          <w:p w14:paraId="5BC8B5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1. </w:t>
            </w:r>
            <w:r>
              <w:rPr>
                <w:rFonts w:hint="eastAsia" w:ascii="仿宋_GB2312" w:hAnsi="仿宋_GB2312" w:eastAsia="仿宋_GB2312" w:cs="仿宋_GB2312"/>
                <w:sz w:val="24"/>
                <w:lang w:val="en-US" w:eastAsia="zh-CN"/>
              </w:rPr>
              <w:t>年度</w:t>
            </w:r>
            <w:r>
              <w:rPr>
                <w:rFonts w:hint="eastAsia" w:ascii="仿宋_GB2312" w:hAnsi="仿宋_GB2312" w:eastAsia="仿宋_GB2312" w:cs="仿宋_GB2312"/>
                <w:sz w:val="24"/>
              </w:rPr>
              <w:t>经费使用</w:t>
            </w:r>
            <w:r>
              <w:rPr>
                <w:rFonts w:hint="eastAsia" w:ascii="仿宋_GB2312" w:hAnsi="仿宋_GB2312" w:eastAsia="仿宋_GB2312" w:cs="仿宋_GB2312"/>
                <w:sz w:val="24"/>
                <w:lang w:val="en-US" w:eastAsia="zh-CN"/>
              </w:rPr>
              <w:t>情况（包括使用进度及执行率）</w:t>
            </w:r>
            <w:r>
              <w:rPr>
                <w:rFonts w:hint="eastAsia" w:ascii="仿宋_GB2312" w:hAnsi="仿宋_GB2312" w:eastAsia="仿宋_GB2312" w:cs="仿宋_GB2312"/>
                <w:sz w:val="24"/>
              </w:rPr>
              <w:t>。</w:t>
            </w:r>
          </w:p>
          <w:p w14:paraId="700544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 经费使用规范性</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是否</w:t>
            </w:r>
            <w:r>
              <w:rPr>
                <w:rFonts w:hint="eastAsia" w:ascii="仿宋_GB2312" w:hAnsi="仿宋_GB2312" w:eastAsia="仿宋_GB2312" w:cs="仿宋_GB2312"/>
                <w:sz w:val="24"/>
              </w:rPr>
              <w:t>严格执行学校“双一流”经费管理办法，是否存在集中报账、不规范报账行为。</w:t>
            </w:r>
          </w:p>
        </w:tc>
        <w:tc>
          <w:tcPr>
            <w:tcW w:w="1964" w:type="dxa"/>
          </w:tcPr>
          <w:p w14:paraId="1DFABAB5">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4"/>
              </w:rPr>
              <w:t>按照二级指标栏的要求填写2024年度经费使用情况。</w:t>
            </w:r>
          </w:p>
        </w:tc>
        <w:tc>
          <w:tcPr>
            <w:tcW w:w="1977" w:type="dxa"/>
            <w:vAlign w:val="center"/>
          </w:tcPr>
          <w:p w14:paraId="39F0EFBD">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4"/>
              </w:rPr>
              <w:t>填写</w:t>
            </w:r>
            <w:r>
              <w:rPr>
                <w:rFonts w:hint="eastAsia" w:ascii="仿宋_GB2312" w:hAnsi="仿宋_GB2312" w:eastAsia="仿宋_GB2312" w:cs="仿宋_GB2312"/>
                <w:sz w:val="24"/>
                <w:lang w:val="en-US" w:eastAsia="zh-CN"/>
              </w:rPr>
              <w:t>2025年度</w:t>
            </w:r>
            <w:r>
              <w:rPr>
                <w:rFonts w:hint="eastAsia" w:ascii="仿宋_GB2312" w:hAnsi="仿宋_GB2312" w:eastAsia="仿宋_GB2312" w:cs="仿宋_GB2312"/>
                <w:sz w:val="24"/>
              </w:rPr>
              <w:t>学科建设经费预算</w:t>
            </w:r>
          </w:p>
        </w:tc>
      </w:tr>
    </w:tbl>
    <w:p w14:paraId="52B994B0">
      <w:pPr>
        <w:ind w:firstLine="620" w:firstLineChars="200"/>
        <w:jc w:val="left"/>
        <w:rPr>
          <w:rFonts w:hint="eastAsia" w:ascii="仿宋" w:hAnsi="仿宋" w:eastAsia="仿宋" w:cs="仿宋"/>
          <w:color w:val="000000"/>
          <w:kern w:val="0"/>
          <w:sz w:val="31"/>
          <w:szCs w:val="31"/>
          <w:lang w:val="en-US" w:eastAsia="zh-CN" w:bidi="ar"/>
        </w:rPr>
      </w:pPr>
    </w:p>
    <w:p w14:paraId="50697A0F">
      <w:pPr>
        <w:ind w:firstLine="620" w:firstLineChars="200"/>
        <w:jc w:val="left"/>
        <w:rPr>
          <w:rFonts w:hint="eastAsia" w:ascii="仿宋" w:hAnsi="仿宋" w:eastAsia="仿宋" w:cs="仿宋"/>
          <w:color w:val="000000"/>
          <w:kern w:val="0"/>
          <w:sz w:val="31"/>
          <w:szCs w:val="31"/>
          <w:lang w:val="en-US" w:eastAsia="zh-CN" w:bidi="ar"/>
        </w:rPr>
      </w:pPr>
    </w:p>
    <w:p w14:paraId="59F24F1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3D6C7D2D-BC6D-4B59-96C4-518D9C1BDCD6}"/>
  </w:font>
  <w:font w:name="方正小标宋简体">
    <w:panose1 w:val="03000509000000000000"/>
    <w:charset w:val="86"/>
    <w:family w:val="auto"/>
    <w:pitch w:val="default"/>
    <w:sig w:usb0="00000001" w:usb1="080E0000" w:usb2="00000000" w:usb3="00000000" w:csb0="00040000" w:csb1="00000000"/>
    <w:embedRegular r:id="rId2" w:fontKey="{70F4CD18-C590-457D-B2B6-6FBBB1A47373}"/>
  </w:font>
  <w:font w:name="仿宋">
    <w:panose1 w:val="02010609060101010101"/>
    <w:charset w:val="86"/>
    <w:family w:val="auto"/>
    <w:pitch w:val="default"/>
    <w:sig w:usb0="800002BF" w:usb1="38CF7CFA" w:usb2="00000016" w:usb3="00000000" w:csb0="00040001" w:csb1="00000000"/>
    <w:embedRegular r:id="rId3" w:fontKey="{49E65A40-0425-40A1-84A7-FB503BD2CE9D}"/>
  </w:font>
  <w:font w:name="仿宋_GB2312">
    <w:panose1 w:val="02010609030101010101"/>
    <w:charset w:val="86"/>
    <w:family w:val="modern"/>
    <w:pitch w:val="default"/>
    <w:sig w:usb0="00000001" w:usb1="080E0000" w:usb2="00000000" w:usb3="00000000" w:csb0="00040000" w:csb1="00000000"/>
    <w:embedRegular r:id="rId4" w:fontKey="{32387B1D-48DD-41F3-8EFA-8C3AA43E1A15}"/>
  </w:font>
  <w:font w:name="楷体_GB2312">
    <w:panose1 w:val="02010609030101010101"/>
    <w:charset w:val="86"/>
    <w:family w:val="modern"/>
    <w:pitch w:val="default"/>
    <w:sig w:usb0="00000001" w:usb1="080E0000" w:usb2="00000000" w:usb3="00000000" w:csb0="00040000" w:csb1="00000000"/>
    <w:embedRegular r:id="rId5" w:fontKey="{AB417C7E-667A-4CF3-8C74-EF15314C36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ZGE5ZTdiNjYxNmRlZmU1YmM3YTMzMTZiNDg3YWQifQ=="/>
  </w:docVars>
  <w:rsids>
    <w:rsidRoot w:val="00000000"/>
    <w:rsid w:val="04436FA8"/>
    <w:rsid w:val="0469469C"/>
    <w:rsid w:val="093B4BA3"/>
    <w:rsid w:val="0979607C"/>
    <w:rsid w:val="18790813"/>
    <w:rsid w:val="1D4E37F9"/>
    <w:rsid w:val="205729C5"/>
    <w:rsid w:val="23843AD1"/>
    <w:rsid w:val="26B9513E"/>
    <w:rsid w:val="2B1211AC"/>
    <w:rsid w:val="2CB114EE"/>
    <w:rsid w:val="2E2547C1"/>
    <w:rsid w:val="2FE931A8"/>
    <w:rsid w:val="311971C3"/>
    <w:rsid w:val="39072D82"/>
    <w:rsid w:val="42437513"/>
    <w:rsid w:val="4978097E"/>
    <w:rsid w:val="62C21B13"/>
    <w:rsid w:val="68CE437E"/>
    <w:rsid w:val="69DA57C5"/>
    <w:rsid w:val="7B883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1493</Words>
  <Characters>1598</Characters>
  <Lines>0</Lines>
  <Paragraphs>0</Paragraphs>
  <TotalTime>11</TotalTime>
  <ScaleCrop>false</ScaleCrop>
  <LinksUpToDate>false</LinksUpToDate>
  <CharactersWithSpaces>1648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丸子</cp:lastModifiedBy>
  <dcterms:modified xsi:type="dcterms:W3CDTF">2025-02-26T07:29:09Z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3BA69CF25A0343B694DD677E497133B2_13</vt:lpwstr>
  </property>
  <property fmtid="{D5CDD505-2E9C-101B-9397-08002B2CF9AE}" pid="4" name="KSOTemplateDocerSaveRecord">
    <vt:lpwstr>eyJoZGlkIjoiNDBkMDAxNmUxNzI4MDE2NDYxMWI2ZmY1ZTgxZmQ0YzQiLCJ1c2VySWQiOiIzMzcyNDIxMDUifQ==</vt:lpwstr>
  </property>
</Properties>
</file>